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忻府区20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20</w:t>
      </w: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年国民经济和社会发展      </w:t>
      </w:r>
      <w:r>
        <w:rPr>
          <w:rFonts w:hint="eastAsia" w:cs="Times New Roman" w:asciiTheme="minorEastAsia" w:hAnsiTheme="minorEastAsia" w:eastAsiaTheme="minorEastAsia"/>
          <w:b/>
          <w:spacing w:val="170"/>
          <w:sz w:val="44"/>
          <w:szCs w:val="44"/>
        </w:rPr>
        <w:t>统计公</w:t>
      </w:r>
      <w:r>
        <w:rPr>
          <w:rFonts w:hint="eastAsia" w:cs="Times New Roman" w:asciiTheme="minorEastAsia" w:hAnsiTheme="minorEastAsia"/>
          <w:b/>
          <w:sz w:val="44"/>
          <w:szCs w:val="44"/>
        </w:rPr>
        <w:t>报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　　 </w:t>
      </w:r>
    </w:p>
    <w:p>
      <w:pPr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忻 府 区 统 计 局</w:t>
      </w:r>
    </w:p>
    <w:p>
      <w:pPr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年4月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面对新冠肺炎疫情的严重冲击，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区委、区政府的坚强领导，全区上下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高举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伟大旗帜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，深入贯彻党的十九大和十九届二中、三中、四中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五中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全会精神，深入学习贯彻习近平总书记视察山西重要讲话重要指示和“三篇光辉文献”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坚持稳中求进工作总基调，坚持“四为四高两同步”总体思路和要求，统筹疫情防控和经济社会发展，扎实做好“六稳”工作，全面落实“六保”任务，强力推动“六新”突破。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全区经济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运行克服疫情影响实现稳定增长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转型发展态势强劲，精准扶贫成效显著，民生福祉不断增进，社会事业全面进步，发展质效明显提升。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36"/>
          <w:szCs w:val="36"/>
        </w:rPr>
        <w:t>一、综  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　　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初步核算，全区全年实现地区生产总值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168.93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(不包括开发区）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，按不变价计算，比上年增长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%。其中，第一产业增加值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9.83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%，占生产总值的比重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5.8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%；第二产业增加值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44.79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8.6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%，占生产总值的比重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26.5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%；第三产业增加值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114.31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5.8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%，占生产总值的比重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67.7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b/>
          <w:color w:val="C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  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—20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年全区生产总值中三次产业比例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color w:val="C00000"/>
        </w:rPr>
        <w:drawing>
          <wp:inline distT="0" distB="0" distL="114300" distR="114300">
            <wp:extent cx="5293995" cy="3142615"/>
            <wp:effectExtent l="5080" t="4445" r="9525" b="15240"/>
            <wp:docPr id="1141" name="图表 2" title="图2        2019-2020年全区生产总值中三次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全年全区一般公共预算收入完成6.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%。税收收入完成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5.10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亿元，增长10.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其中，国内增值税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1.35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亿元、企业所得税0.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亿元、个人所得税0.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亿元、资源税0.0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</w:t>
      </w:r>
      <w:r>
        <w:rPr>
          <w:rFonts w:ascii="仿宋" w:hAnsi="仿宋" w:eastAsia="仿宋" w:cs="Times New Roman"/>
          <w:color w:val="auto"/>
          <w:sz w:val="32"/>
          <w:szCs w:val="32"/>
        </w:rPr>
        <w:t>全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区一般公共预算支出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27.32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13.9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%。其中，教育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3.46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亿元、医疗卫生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2.14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亿元、社会保障和就业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6.13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亿元、住房保障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1.22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亿元、公共交通运输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1.44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亿元、节能环保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2.26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亿元、城乡社区事务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1.80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亿元，合计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18.45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13.7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drawing>
          <wp:inline distT="0" distB="0" distL="114300" distR="114300">
            <wp:extent cx="5269865" cy="3448050"/>
            <wp:effectExtent l="0" t="0" r="6985" b="0"/>
            <wp:docPr id="1139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全年全区城镇新增就业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3481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人。转移富余农村劳动力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3529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人。年末城镇登记失业率3.7%。 </w:t>
      </w: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ascii="仿宋" w:hAnsi="仿宋" w:eastAsia="仿宋" w:cs="Times New Roman"/>
          <w:b/>
          <w:color w:val="auto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auto"/>
          <w:sz w:val="36"/>
          <w:szCs w:val="36"/>
        </w:rPr>
        <w:t>二、农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全年全区农作物种植面积53.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千公顷，比上年增加0.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千公顷。其中，粮食种植面积45.68千公顷，增加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0.0015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千公顷；蔬菜种植面积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6.46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增加了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0.73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千公顷；油料种植面积0.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，减少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0.04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千公顷。在粮食种植面积中，玉米种植面积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40.84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0.78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千公顷；果园面积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1.08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.012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全年全区粮食产量3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1.21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1.03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万吨，增产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spacing w:line="620" w:lineRule="exact"/>
        <w:ind w:firstLine="840" w:firstLineChars="350"/>
        <w:jc w:val="center"/>
        <w:rPr>
          <w:rFonts w:ascii="仿宋" w:hAnsi="仿宋" w:eastAsia="仿宋" w:cs="Times New Roman"/>
          <w:color w:val="C00000"/>
          <w:sz w:val="24"/>
        </w:rPr>
      </w:pPr>
    </w:p>
    <w:p>
      <w:pPr>
        <w:spacing w:line="620" w:lineRule="exact"/>
        <w:jc w:val="center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 xml:space="preserve">表1  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年主要农林产品产量及其增长速度</w:t>
      </w:r>
    </w:p>
    <w:p>
      <w:pPr>
        <w:jc w:val="right"/>
        <w:rPr>
          <w:rFonts w:ascii="仿宋" w:hAnsi="仿宋" w:eastAsia="仿宋" w:cs="宋体"/>
          <w:color w:val="auto"/>
          <w:szCs w:val="21"/>
        </w:rPr>
      </w:pPr>
      <w:r>
        <w:rPr>
          <w:rFonts w:hint="eastAsia" w:ascii="仿宋" w:hAnsi="仿宋" w:eastAsia="仿宋" w:cs="宋体"/>
          <w:color w:val="auto"/>
          <w:szCs w:val="21"/>
        </w:rPr>
        <w:t>单位：</w:t>
      </w:r>
      <w:r>
        <w:rPr>
          <w:rFonts w:hint="eastAsia" w:ascii="仿宋" w:hAnsi="仿宋" w:eastAsia="仿宋" w:cs="Times New Roman"/>
          <w:color w:val="auto"/>
          <w:szCs w:val="21"/>
        </w:rPr>
        <w:t>万吨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2603"/>
        <w:gridCol w:w="22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7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产品名称</w:t>
            </w:r>
          </w:p>
        </w:tc>
        <w:tc>
          <w:tcPr>
            <w:tcW w:w="15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产  量</w:t>
            </w:r>
          </w:p>
        </w:tc>
        <w:tc>
          <w:tcPr>
            <w:tcW w:w="132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粮  食</w:t>
            </w:r>
          </w:p>
        </w:tc>
        <w:tc>
          <w:tcPr>
            <w:tcW w:w="156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1.21</w:t>
            </w:r>
          </w:p>
        </w:tc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 xml:space="preserve">  其中：玉  米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29.58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 xml:space="preserve">        小  麦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 xml:space="preserve">        谷  子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.72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945" w:firstLineChars="4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豆  类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0.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03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945" w:firstLineChars="4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薯  类（折粮）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0.26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-3.7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油  料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</w:rPr>
              <w:t>0.</w:t>
            </w: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-53.4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蔬菜及食用菌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13.37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水  果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3.11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9.9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 xml:space="preserve">  其中：瓜果类</w:t>
            </w:r>
          </w:p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2.74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 xml:space="preserve">        园林水果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.37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-43.7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食用坚果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</w:rPr>
              <w:t>0.</w:t>
            </w: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03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-64.4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107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315" w:firstLineChars="150"/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其中：核  桃</w:t>
            </w:r>
          </w:p>
        </w:tc>
        <w:tc>
          <w:tcPr>
            <w:tcW w:w="1567" w:type="pct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hint="default" w:ascii="仿宋" w:hAnsi="仿宋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lang w:val="en-US" w:eastAsia="zh-CN"/>
              </w:rPr>
              <w:t>0.03</w:t>
            </w:r>
          </w:p>
        </w:tc>
        <w:tc>
          <w:tcPr>
            <w:tcW w:w="1326" w:type="pct"/>
            <w:tcBorders>
              <w:top w:val="nil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-64.4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全年全区完成造林面积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0.64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千公顷，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5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9.8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auto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全年全区猪牛羊肉总产量0.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12.8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%。其中，猪肉产量0.4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,增加9.9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%；牛肉产量0.0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万吨，下降2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4.1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%；羊肉产量0.0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13.6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%。牛奶产量2.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万吨，下降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8.8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%。禽蛋产量0.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万吨，下降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21.5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%。年末生猪存栏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3.20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万头，生猪出栏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5.63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Times New Roman"/>
          <w:b/>
          <w:color w:val="auto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auto"/>
          <w:sz w:val="36"/>
          <w:szCs w:val="36"/>
        </w:rPr>
        <w:t>三、工业和建筑业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全年全区规模以上工业增加值比上年增长</w:t>
      </w:r>
      <w:r>
        <w:rPr>
          <w:rFonts w:ascii="仿宋" w:hAnsi="仿宋" w:eastAsia="仿宋" w:cs="仿宋"/>
          <w:color w:val="auto"/>
          <w:sz w:val="32"/>
          <w:szCs w:val="32"/>
        </w:rPr>
        <w:t>6.4%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，全市排名第十。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表2   2020年规模以上工业增加值增长速度</w:t>
      </w:r>
    </w:p>
    <w:tbl>
      <w:tblPr>
        <w:tblStyle w:val="6"/>
        <w:tblW w:w="51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8"/>
        <w:gridCol w:w="1843"/>
        <w:gridCol w:w="2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437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指</w:t>
            </w:r>
            <w:r>
              <w:rPr>
                <w:rFonts w:ascii="仿宋" w:hAnsi="仿宋" w:eastAsia="仿宋" w:cs="仿宋"/>
                <w:color w:val="auto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</w:rPr>
              <w:t>标</w:t>
            </w:r>
          </w:p>
        </w:tc>
        <w:tc>
          <w:tcPr>
            <w:tcW w:w="1563" w:type="pc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比上年增长</w:t>
            </w:r>
            <w:r>
              <w:rPr>
                <w:rFonts w:ascii="仿宋" w:hAnsi="仿宋" w:eastAsia="仿宋" w:cs="仿宋"/>
                <w:color w:val="auto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single" w:color="auto" w:sz="4" w:space="0"/>
              <w:left w:val="nil"/>
              <w:bottom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规模以上工业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tabs>
                <w:tab w:val="decimal" w:pos="320"/>
              </w:tabs>
              <w:rPr>
                <w:rFonts w:ascii="仿宋" w:hAnsi="仿宋" w:eastAsia="仿宋" w:cs="Times New Roman"/>
                <w:color w:val="auto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single" w:color="auto" w:sz="4" w:space="0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其他农副食品加工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tabs>
                <w:tab w:val="decimal" w:pos="320"/>
              </w:tabs>
              <w:rPr>
                <w:rFonts w:ascii="仿宋" w:hAnsi="仿宋" w:eastAsia="仿宋" w:cs="Times New Roman"/>
                <w:color w:val="auto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840" w:firstLineChars="4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-102.0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其中：豆制品制造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840" w:firstLineChars="4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</w:rPr>
              <w:t>其他未列明农副食品加工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纸制品制造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纸和纸板容器制造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煤炭加工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11.6</w:t>
            </w:r>
          </w:p>
        </w:tc>
      </w:tr>
      <w:tr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炼焦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基础化学原料制造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-62.4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有机化学原料制造</w:t>
            </w:r>
          </w:p>
        </w:tc>
        <w:tc>
          <w:tcPr>
            <w:tcW w:w="1050" w:type="pct"/>
            <w:tcBorders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其他基础化学原料制造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-39.6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专用化学产品制造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化学试剂和助剂制造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医药制造业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医药工业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87" w:type="pct"/>
            <w:tcBorders>
              <w:top w:val="nil"/>
              <w:left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水泥、石灰和石膏制造</w:t>
            </w:r>
          </w:p>
        </w:tc>
        <w:tc>
          <w:tcPr>
            <w:tcW w:w="1050" w:type="pct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155" w:firstLineChars="5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水泥制造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155" w:firstLineChars="5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石膏、水泥制品及类似制品制造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32.6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水泥制品制造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其他水泥类似制品制造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51.0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砖瓦、石材等建筑材料制造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82.1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防水建筑材料制造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其他建筑材料制造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103.9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玻璃制品制造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27.9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日用玻璃制品制造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27.9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陶瓷制品制造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日用陶瓷制品制造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石墨及其他非金属矿物制品制造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155" w:firstLineChars="5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其他非金属矿物制品制造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155" w:firstLineChars="5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黑色金属冶炼和压延加工业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945" w:firstLineChars="4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钢压延加工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ind w:firstLine="1050" w:firstLineChars="50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铁合金冶炼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锅炉及原动设备制造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锅炉及辅助设备制造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金属加工机械制造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59.2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其他金属加工机械制造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59.2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物料搬运设备制造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-41.6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连续搬运设备制造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-41.6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泵、阀门、压缩机及类似机械制造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液压动力机械及元件制造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223" w:firstLineChars="150"/>
              <w:rPr>
                <w:rFonts w:ascii="仿宋" w:hAnsi="仿宋" w:eastAsia="仿宋" w:cs="Times New Roman"/>
                <w:color w:val="auto"/>
                <w:spacing w:val="-20"/>
                <w:w w:val="90"/>
              </w:rPr>
            </w:pPr>
            <w:r>
              <w:rPr>
                <w:rFonts w:ascii="仿宋" w:hAnsi="仿宋" w:eastAsia="仿宋" w:cs="仿宋"/>
                <w:color w:val="auto"/>
                <w:spacing w:val="-20"/>
                <w:w w:val="9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w w:val="90"/>
              </w:rPr>
              <w:t>环保、邮政、社会公共服务及其他专用设备制造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环境保护专用设备制造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-18.5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电力生产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8.9</w:t>
            </w:r>
          </w:p>
        </w:tc>
      </w:tr>
      <w:tr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火力发电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热电联产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</w:rPr>
              <w:t>太阳能发电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热力生产和供应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燃气生产和供应业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煤气生产和供应业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420" w:firstLineChars="2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水的生产和供应业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nil"/>
            </w:tcBorders>
            <w:vAlign w:val="bottom"/>
          </w:tcPr>
          <w:p>
            <w:pPr>
              <w:ind w:firstLine="840" w:firstLineChars="40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自来水生产和供应</w:t>
            </w:r>
          </w:p>
        </w:tc>
        <w:tc>
          <w:tcPr>
            <w:tcW w:w="1050" w:type="pct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387" w:type="pct"/>
            <w:tcBorders>
              <w:top w:val="nil"/>
              <w:left w:val="nil"/>
              <w:bottom w:val="single" w:color="auto" w:sz="12" w:space="0"/>
            </w:tcBorders>
            <w:vAlign w:val="bottom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</w:p>
        </w:tc>
        <w:tc>
          <w:tcPr>
            <w:tcW w:w="1050" w:type="pct"/>
            <w:tcBorders>
              <w:top w:val="nil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  <w:shd w:val="pct10" w:color="auto" w:fill="FFFFFF"/>
              </w:rPr>
            </w:pPr>
          </w:p>
        </w:tc>
        <w:tc>
          <w:tcPr>
            <w:tcW w:w="1563" w:type="pct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auto"/>
              </w:rPr>
            </w:pPr>
          </w:p>
        </w:tc>
      </w:tr>
    </w:tbl>
    <w:p>
      <w:pPr>
        <w:spacing w:beforeLines="100"/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beforeLines="1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表3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2020年规模以上工业主要工业产品按类型分产量及其增长速度</w:t>
      </w:r>
    </w:p>
    <w:tbl>
      <w:tblPr>
        <w:tblStyle w:val="6"/>
        <w:tblW w:w="5000" w:type="pct"/>
        <w:tblInd w:w="-10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2028"/>
        <w:gridCol w:w="1998"/>
        <w:gridCol w:w="15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产品名称</w:t>
            </w:r>
          </w:p>
        </w:tc>
        <w:tc>
          <w:tcPr>
            <w:tcW w:w="1190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单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>位</w:t>
            </w:r>
          </w:p>
        </w:tc>
        <w:tc>
          <w:tcPr>
            <w:tcW w:w="1172" w:type="pc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产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>量</w:t>
            </w:r>
          </w:p>
        </w:tc>
        <w:tc>
          <w:tcPr>
            <w:tcW w:w="928" w:type="pc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比上年增长</w:t>
            </w:r>
            <w:r>
              <w:rPr>
                <w:rFonts w:ascii="仿宋" w:hAnsi="仿宋" w:eastAsia="仿宋" w:cs="仿宋"/>
                <w:color w:val="auto"/>
              </w:rPr>
              <w:t>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瓦楞纸箱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8599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-17.2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粗苯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11813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noWrap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-11.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化学试剂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2737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32.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水泥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321414.82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-2.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商品混凝土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立方米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981329.28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16.5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日用玻璃制品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13395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18.8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铁合金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34996.34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-21.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工业锅炉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蒸发量吨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2939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 4.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输送机械（输送机和提升机）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1389.12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-38.1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液压元件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件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1263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9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矿山专用设备</w:t>
            </w:r>
          </w:p>
        </w:tc>
        <w:tc>
          <w:tcPr>
            <w:tcW w:w="1190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吨</w:t>
            </w:r>
          </w:p>
        </w:tc>
        <w:tc>
          <w:tcPr>
            <w:tcW w:w="1172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13379.81</w:t>
            </w:r>
          </w:p>
        </w:tc>
        <w:tc>
          <w:tcPr>
            <w:tcW w:w="928" w:type="pct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-5.3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0" w:type="pct"/>
            <w:tcBorders>
              <w:bottom w:val="single" w:color="auto" w:sz="12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大气污染防治设备</w:t>
            </w:r>
          </w:p>
        </w:tc>
        <w:tc>
          <w:tcPr>
            <w:tcW w:w="1190" w:type="pct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台（套）</w:t>
            </w:r>
          </w:p>
        </w:tc>
        <w:tc>
          <w:tcPr>
            <w:tcW w:w="1172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ind w:right="315" w:rightChars="150"/>
              <w:jc w:val="right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33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.00</w:t>
            </w:r>
          </w:p>
        </w:tc>
        <w:tc>
          <w:tcPr>
            <w:tcW w:w="928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0</w:t>
            </w:r>
          </w:p>
        </w:tc>
      </w:tr>
    </w:tbl>
    <w:p>
      <w:pPr>
        <w:spacing w:beforeLines="10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beforeLines="100"/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表4   2020年规模以上工业主要工业产品产量及其增长速度</w:t>
      </w:r>
    </w:p>
    <w:tbl>
      <w:tblPr>
        <w:tblStyle w:val="6"/>
        <w:tblW w:w="5000" w:type="pct"/>
        <w:tblInd w:w="-10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038"/>
        <w:gridCol w:w="2006"/>
        <w:gridCol w:w="155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产品名称</w:t>
            </w:r>
          </w:p>
        </w:tc>
        <w:tc>
          <w:tcPr>
            <w:tcW w:w="119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单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>位</w:t>
            </w:r>
          </w:p>
        </w:tc>
        <w:tc>
          <w:tcPr>
            <w:tcW w:w="1177" w:type="pc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产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>量</w:t>
            </w:r>
          </w:p>
        </w:tc>
        <w:tc>
          <w:tcPr>
            <w:tcW w:w="911" w:type="pc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比上年增长</w:t>
            </w:r>
            <w:r>
              <w:rPr>
                <w:rFonts w:ascii="仿宋" w:hAnsi="仿宋" w:eastAsia="仿宋" w:cs="仿宋"/>
                <w:color w:val="auto"/>
              </w:rPr>
              <w:t>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71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工业总产值总计</w:t>
            </w:r>
            <w:r>
              <w:rPr>
                <w:rFonts w:ascii="仿宋" w:hAnsi="仿宋" w:eastAsia="仿宋" w:cs="仿宋"/>
                <w:color w:val="auto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</w:rPr>
              <w:t>现行价格</w:t>
            </w:r>
            <w:r>
              <w:rPr>
                <w:rFonts w:ascii="仿宋" w:hAnsi="仿宋" w:eastAsia="仿宋" w:cs="仿宋"/>
                <w:color w:val="auto"/>
              </w:rPr>
              <w:t>)</w:t>
            </w:r>
          </w:p>
        </w:tc>
        <w:tc>
          <w:tcPr>
            <w:tcW w:w="119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>8909017.9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0</w:t>
            </w:r>
          </w:p>
        </w:tc>
        <w:tc>
          <w:tcPr>
            <w:tcW w:w="911" w:type="pct"/>
            <w:tcBorders>
              <w:top w:val="single" w:color="auto" w:sz="12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轻工业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198291.79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-1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重工业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8710726.11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4.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股份制企业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8692694.12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 3.2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外商及港澳台商投资企业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76925.08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其他经济类型企业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139398.70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47.2  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国有控股企业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2059467.24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-0.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非公有工业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6849550.66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大中型工业企业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7179624.77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5.6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私有企业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2726577.79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中央企业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1602630.37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-1.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地方企业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7306387.53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5.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color w:val="auto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6319273.45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rPr>
                <w:rFonts w:ascii="仿宋" w:hAnsi="仿宋" w:eastAsia="仿宋" w:cs="Times New Roman"/>
                <w:color w:val="auto"/>
                <w:spacing w:val="-20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</w:rPr>
              <w:t>工业销售产值总计</w:t>
            </w:r>
            <w:r>
              <w:rPr>
                <w:rFonts w:ascii="仿宋" w:hAnsi="仿宋" w:eastAsia="仿宋" w:cs="仿宋"/>
                <w:color w:val="auto"/>
                <w:spacing w:val="-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-20"/>
              </w:rPr>
              <w:t>现行价格</w:t>
            </w:r>
            <w:r>
              <w:rPr>
                <w:rFonts w:ascii="仿宋" w:hAnsi="仿宋" w:eastAsia="仿宋" w:cs="仿宋"/>
                <w:color w:val="auto"/>
                <w:spacing w:val="-20"/>
              </w:rPr>
              <w:t>)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8050374.78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2.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255" w:firstLineChars="150"/>
              <w:rPr>
                <w:rFonts w:ascii="仿宋" w:hAnsi="仿宋" w:eastAsia="仿宋" w:cs="Times New Roman"/>
                <w:color w:val="auto"/>
                <w:spacing w:val="-20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</w:rPr>
              <w:t>出口交货值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176063.35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10.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255" w:firstLineChars="150"/>
              <w:rPr>
                <w:rFonts w:ascii="仿宋" w:hAnsi="仿宋" w:eastAsia="仿宋" w:cs="Times New Roman"/>
                <w:color w:val="auto"/>
                <w:spacing w:val="-20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</w:rPr>
              <w:t>轻工业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195931.63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-20.3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255" w:firstLineChars="150"/>
              <w:rPr>
                <w:rFonts w:ascii="仿宋" w:hAnsi="仿宋" w:eastAsia="仿宋" w:cs="Times New Roman"/>
                <w:color w:val="auto"/>
                <w:spacing w:val="-20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</w:rPr>
              <w:t>重工业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7854443.15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3.6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股份制企业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7845691.09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2.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外商及港澳台商投资企业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65284.99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20.2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其他经济类型企业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139398.70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47.2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国有控股企业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1866075.24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-2.5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非公有工业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6184299.54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大中型工业企业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6422713.77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私有企业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2340779.92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2.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中央企业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1439368.37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-4.7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地方企业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6611006.41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4.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</w:tcPr>
          <w:p>
            <w:pPr>
              <w:ind w:firstLine="315" w:firstLineChars="150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其他企业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千元</w:t>
            </w:r>
          </w:p>
        </w:tc>
        <w:tc>
          <w:tcPr>
            <w:tcW w:w="1177" w:type="pct"/>
            <w:noWrap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>5684666.42</w:t>
            </w:r>
          </w:p>
        </w:tc>
        <w:tc>
          <w:tcPr>
            <w:tcW w:w="911" w:type="pct"/>
            <w:noWrap/>
            <w:vAlign w:val="top"/>
          </w:tcPr>
          <w:p>
            <w:pPr>
              <w:ind w:right="315" w:rightChars="15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</w:rPr>
              <w:t xml:space="preserve">  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pct"/>
            <w:tcBorders>
              <w:bottom w:val="single" w:color="auto" w:sz="12" w:space="0"/>
            </w:tcBorders>
          </w:tcPr>
          <w:p>
            <w:pPr>
              <w:rPr>
                <w:rFonts w:ascii="仿宋" w:hAnsi="仿宋" w:eastAsia="仿宋" w:cs="Times New Roman"/>
                <w:color w:val="auto"/>
              </w:rPr>
            </w:pPr>
          </w:p>
        </w:tc>
        <w:tc>
          <w:tcPr>
            <w:tcW w:w="1196" w:type="pct"/>
            <w:tcBorders>
              <w:bottom w:val="single" w:color="auto" w:sz="12" w:space="0"/>
            </w:tcBorders>
          </w:tcPr>
          <w:p>
            <w:pPr>
              <w:rPr>
                <w:rFonts w:cs="Times New Roman"/>
                <w:color w:val="auto"/>
              </w:rPr>
            </w:pPr>
          </w:p>
        </w:tc>
        <w:tc>
          <w:tcPr>
            <w:tcW w:w="1177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right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color="auto" w:sz="12" w:space="0"/>
            </w:tcBorders>
            <w:noWrap/>
            <w:vAlign w:val="center"/>
          </w:tcPr>
          <w:p>
            <w:pPr>
              <w:ind w:right="315" w:rightChars="150"/>
              <w:jc w:val="center"/>
              <w:rPr>
                <w:rFonts w:ascii="仿宋" w:hAnsi="仿宋" w:eastAsia="仿宋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全年全区规模以上工业企业实现主营业务收入</w:t>
      </w:r>
      <w:r>
        <w:rPr>
          <w:rFonts w:ascii="仿宋" w:hAnsi="仿宋" w:eastAsia="仿宋" w:cs="仿宋"/>
          <w:color w:val="auto"/>
          <w:sz w:val="32"/>
          <w:szCs w:val="32"/>
        </w:rPr>
        <w:t>67.8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亿元，下降</w:t>
      </w:r>
      <w:r>
        <w:rPr>
          <w:rFonts w:ascii="仿宋" w:hAnsi="仿宋" w:eastAsia="仿宋" w:cs="仿宋"/>
          <w:color w:val="auto"/>
          <w:sz w:val="32"/>
          <w:szCs w:val="32"/>
        </w:rPr>
        <w:t>15.3%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全年全区规模以上工业利润总额</w:t>
      </w:r>
      <w:r>
        <w:rPr>
          <w:rFonts w:ascii="仿宋" w:hAnsi="仿宋" w:eastAsia="仿宋" w:cs="仿宋"/>
          <w:color w:val="auto"/>
          <w:sz w:val="32"/>
          <w:szCs w:val="32"/>
        </w:rPr>
        <w:t>6.62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亿元，下降</w:t>
      </w:r>
      <w:r>
        <w:rPr>
          <w:rFonts w:ascii="仿宋" w:hAnsi="仿宋" w:eastAsia="仿宋" w:cs="仿宋"/>
          <w:color w:val="auto"/>
          <w:sz w:val="32"/>
          <w:szCs w:val="32"/>
        </w:rPr>
        <w:t>30.6%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全区建筑业增加值完成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9.49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亿元，按不变价增长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21.7%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。资质以上建筑业企业完成总产值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61.29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27.0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%，共签订合同额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106.66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93.0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%。房屋建筑施工面积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136.65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万平方米，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%，竣工面积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71.66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万平方米，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%。资质以上建筑业企业共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能  源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全年全区一次能源生产折标准煤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8.5</w:t>
      </w:r>
      <w:r>
        <w:rPr>
          <w:rFonts w:hint="eastAsia" w:ascii="仿宋" w:hAnsi="仿宋" w:eastAsia="仿宋"/>
          <w:color w:val="auto"/>
          <w:sz w:val="32"/>
          <w:szCs w:val="32"/>
        </w:rPr>
        <w:t>万吨，增长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7.6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全年全区二次能源生产折标准煤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364.6</w:t>
      </w:r>
      <w:r>
        <w:rPr>
          <w:rFonts w:hint="eastAsia" w:ascii="仿宋" w:hAnsi="仿宋" w:eastAsia="仿宋"/>
          <w:color w:val="auto"/>
          <w:sz w:val="32"/>
          <w:szCs w:val="32"/>
        </w:rPr>
        <w:t>万吨，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15.0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全年全区全社会用电总量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23.2</w:t>
      </w:r>
      <w:r>
        <w:rPr>
          <w:rFonts w:hint="eastAsia" w:ascii="仿宋" w:hAnsi="仿宋" w:eastAsia="仿宋"/>
          <w:color w:val="auto"/>
          <w:sz w:val="32"/>
          <w:szCs w:val="32"/>
        </w:rPr>
        <w:t>亿千瓦小时。其中，第一产业用电0.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亿千瓦小时，占全社会用电量的比重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/>
          <w:color w:val="auto"/>
          <w:sz w:val="32"/>
          <w:szCs w:val="32"/>
        </w:rPr>
        <w:t>%；第二产业用电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13.6</w:t>
      </w:r>
      <w:r>
        <w:rPr>
          <w:rFonts w:hint="eastAsia" w:ascii="仿宋" w:hAnsi="仿宋" w:eastAsia="仿宋"/>
          <w:color w:val="auto"/>
          <w:sz w:val="32"/>
          <w:szCs w:val="32"/>
        </w:rPr>
        <w:t>亿千瓦小时，占全社会用电量的比重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58.6</w:t>
      </w:r>
      <w:r>
        <w:rPr>
          <w:rFonts w:hint="eastAsia" w:ascii="仿宋" w:hAnsi="仿宋" w:eastAsia="仿宋"/>
          <w:color w:val="auto"/>
          <w:sz w:val="32"/>
          <w:szCs w:val="32"/>
        </w:rPr>
        <w:t>%，其中工业用电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13.2</w:t>
      </w:r>
      <w:r>
        <w:rPr>
          <w:rFonts w:hint="eastAsia" w:ascii="仿宋" w:hAnsi="仿宋" w:eastAsia="仿宋"/>
          <w:color w:val="auto"/>
          <w:sz w:val="32"/>
          <w:szCs w:val="32"/>
        </w:rPr>
        <w:t>亿千瓦小时；第三产业用电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4.8</w:t>
      </w:r>
      <w:r>
        <w:rPr>
          <w:rFonts w:hint="eastAsia" w:ascii="仿宋" w:hAnsi="仿宋" w:eastAsia="仿宋"/>
          <w:color w:val="auto"/>
          <w:sz w:val="32"/>
          <w:szCs w:val="32"/>
        </w:rPr>
        <w:t>亿千瓦小时，占全社会用电量的比重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20.7</w:t>
      </w:r>
      <w:r>
        <w:rPr>
          <w:rFonts w:hint="eastAsia" w:ascii="仿宋" w:hAnsi="仿宋" w:eastAsia="仿宋"/>
          <w:color w:val="auto"/>
          <w:sz w:val="32"/>
          <w:szCs w:val="32"/>
        </w:rPr>
        <w:t>%，城乡居民生活用电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4.2</w:t>
      </w:r>
      <w:r>
        <w:rPr>
          <w:rFonts w:hint="eastAsia" w:ascii="仿宋" w:hAnsi="仿宋" w:eastAsia="仿宋"/>
          <w:color w:val="auto"/>
          <w:sz w:val="32"/>
          <w:szCs w:val="32"/>
        </w:rPr>
        <w:t>亿千瓦小时，占全社会用电量的比重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18.1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　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五、固定资产投资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全年全区固定资产投资61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增长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11.8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全年全区在建固定资产投资项目（不含房地产开发项目）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个。其中上年结转项目38个，本年新入库项目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全年全区房地产开发投资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12.4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36.3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%。其中，住宅投资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9.8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29.6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%；商业营业用房投资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0.7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61.0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六、贸  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全年全区社会消费品零售总额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132.6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下降8.9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%。按经营地统计，城镇消费品零售额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96.9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下降8.8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%；乡村消费品零售额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35.7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下降9.2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%。按消费形态统计，商品零售额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128.9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下降8.4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%；餐饮收入额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3.7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下降23.4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%。 </w:t>
      </w:r>
    </w:p>
    <w:p>
      <w:pPr>
        <w:spacing w:before="156" w:beforeLines="50"/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表5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2020年社会消费品零售总额及其增长速度</w:t>
      </w:r>
    </w:p>
    <w:p>
      <w:pPr>
        <w:jc w:val="right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华文仿宋" w:hAnsi="华文仿宋" w:eastAsia="华文仿宋" w:cs="华文仿宋"/>
          <w:color w:val="auto"/>
          <w:szCs w:val="21"/>
        </w:rPr>
        <w:t>单位：亿元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2219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504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>指  标</w:t>
            </w:r>
          </w:p>
        </w:tc>
        <w:tc>
          <w:tcPr>
            <w:tcW w:w="1302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>绝对数</w:t>
            </w:r>
          </w:p>
        </w:tc>
        <w:tc>
          <w:tcPr>
            <w:tcW w:w="1194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>比上年增长%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>社会消费品零售总额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132.6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-8.9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>分地域：城  镇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96.9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-8.8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 xml:space="preserve">           其中：城  区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92.2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-9.4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</w:rPr>
              <w:t xml:space="preserve">          乡  村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32"/>
              </w:tabs>
              <w:ind w:right="315" w:rightChars="150" w:firstLine="651" w:firstLineChars="31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35.7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Cs w:val="21"/>
                <w:lang w:val="en-US" w:eastAsia="zh-CN"/>
              </w:rPr>
              <w:t>-9.2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4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i/>
                <w:color w:val="auto"/>
                <w:szCs w:val="21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 w:firstLine="686" w:firstLineChars="327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hint="eastAsia" w:ascii="华文仿宋" w:hAnsi="华文仿宋" w:eastAsia="华文仿宋" w:cs="华文仿宋"/>
                <w:color w:val="auto"/>
                <w:szCs w:val="21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全年全区限额以上单位消费品零售额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46.6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亿元，下降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9.8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%。 </w:t>
      </w:r>
    </w:p>
    <w:p>
      <w:pPr>
        <w:spacing w:before="156" w:beforeLines="50"/>
        <w:jc w:val="center"/>
        <w:rPr>
          <w:rFonts w:ascii="黑体" w:hAnsi="黑体" w:eastAsia="黑体" w:cs="Times New Roman"/>
          <w:color w:val="auto"/>
          <w:sz w:val="24"/>
        </w:rPr>
      </w:pPr>
      <w:r>
        <w:rPr>
          <w:rFonts w:hint="eastAsia" w:ascii="黑体" w:hAnsi="黑体" w:eastAsia="黑体" w:cs="Times New Roman"/>
          <w:color w:val="auto"/>
          <w:sz w:val="24"/>
        </w:rPr>
        <w:t>表6</w:t>
      </w:r>
      <w:r>
        <w:rPr>
          <w:rFonts w:hint="eastAsia" w:ascii="黑体" w:hAnsi="黑体" w:eastAsia="黑体" w:cs="Times New Roman"/>
          <w:color w:val="auto"/>
          <w:sz w:val="24"/>
          <w:lang w:val="en-US" w:eastAsia="zh-CN"/>
        </w:rPr>
        <w:t xml:space="preserve">   </w:t>
      </w:r>
      <w:r>
        <w:rPr>
          <w:rFonts w:ascii="黑体" w:hAnsi="黑体" w:eastAsia="黑体" w:cs="Times New Roman"/>
          <w:color w:val="auto"/>
          <w:sz w:val="24"/>
        </w:rPr>
        <w:t>20</w:t>
      </w:r>
      <w:r>
        <w:rPr>
          <w:rFonts w:hint="eastAsia" w:ascii="黑体" w:hAnsi="黑体" w:eastAsia="黑体" w:cs="Times New Roman"/>
          <w:color w:val="auto"/>
          <w:sz w:val="24"/>
          <w:lang w:val="en-US" w:eastAsia="zh-CN"/>
        </w:rPr>
        <w:t>20</w:t>
      </w:r>
      <w:r>
        <w:rPr>
          <w:rFonts w:hint="eastAsia" w:ascii="黑体" w:hAnsi="黑体" w:eastAsia="黑体" w:cs="Times New Roman"/>
          <w:color w:val="auto"/>
          <w:sz w:val="24"/>
        </w:rPr>
        <w:t>年限额以上单位商品零售额及其增长速度</w:t>
      </w:r>
    </w:p>
    <w:p>
      <w:pPr>
        <w:jc w:val="right"/>
        <w:rPr>
          <w:rFonts w:hint="eastAsia" w:ascii="华文仿宋" w:hAnsi="华文仿宋" w:eastAsia="华文仿宋" w:cs="华文仿宋"/>
          <w:color w:val="auto"/>
          <w:sz w:val="21"/>
          <w:szCs w:val="21"/>
        </w:rPr>
      </w:pPr>
      <w:r>
        <w:rPr>
          <w:rFonts w:hint="eastAsia" w:ascii="华文仿宋" w:hAnsi="华文仿宋" w:eastAsia="华文仿宋" w:cs="华文仿宋"/>
          <w:color w:val="auto"/>
          <w:sz w:val="21"/>
          <w:szCs w:val="21"/>
        </w:rPr>
        <w:t>单位：万元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3"/>
        <w:gridCol w:w="2435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指  标</w:t>
            </w:r>
          </w:p>
        </w:tc>
        <w:tc>
          <w:tcPr>
            <w:tcW w:w="142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绝对数</w:t>
            </w:r>
          </w:p>
        </w:tc>
        <w:tc>
          <w:tcPr>
            <w:tcW w:w="1105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比上年增长%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汽车类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115145.3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石油及制品类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168017.1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金银珠宝类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649.4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家用电器和音像器材类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4917.5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通讯器材类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7711.9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粮油、食品类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39882.7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饮料类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1664.3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烟酒类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3067.9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服装、鞋帽、针纺织品类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12886.8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化妆品类</w:t>
            </w:r>
          </w:p>
        </w:tc>
        <w:tc>
          <w:tcPr>
            <w:tcW w:w="1428" w:type="pc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1834.8</w:t>
            </w: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465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体育、娱乐用品类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7.7</w:t>
            </w:r>
          </w:p>
        </w:tc>
        <w:tc>
          <w:tcPr>
            <w:tcW w:w="1105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七、交通、邮电和旅游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年末全区公路线路里程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1751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公里，其中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国道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231公里，省道82公里，县道250公里，乡道455公里，村道727公里，专用公路6公里。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高速公路131公里。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　　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全年全区共接待国内外游客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846.22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万人次，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25.3%；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旅游总收入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72.93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亿元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，下降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32.3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。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Times New Roman"/>
          <w:b/>
          <w:sz w:val="36"/>
          <w:szCs w:val="36"/>
        </w:rPr>
        <w:t>八、金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年末全区金融机构人民币各项存款余额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738.58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亿元，比年初增加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70.48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亿元，比年初增长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10.5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%。各项贷款余额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449.22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亿元，比年初增加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23.02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5.4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年末全区农村金融合作机构（农村信用社、农村合作银行、农村商业银行）人民币存款余额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135.58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亿元，比年初增加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21.88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亿元，比年初增长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19.2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%；人民币贷款余额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92.05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亿元，比年初增加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5.95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6.9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全年全区保费收入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25.9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5.1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%。其中，寿险业务保费收入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16.8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%；健康险业务保费收入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3.9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32.2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%；意外险业务保费收入0.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15.0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%。财产险业务保费收入4.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%。全年支付各类赔款及给付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7.9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43.0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widowControl/>
        <w:jc w:val="both"/>
        <w:rPr>
          <w:rFonts w:ascii="仿宋" w:hAnsi="仿宋" w:eastAsia="仿宋" w:cs="宋体"/>
          <w:color w:val="auto"/>
          <w:kern w:val="0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  <w:lang w:val="en-US" w:eastAsia="zh-CN"/>
        </w:rPr>
        <w:t>九</w:t>
      </w: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、文化、卫生和体育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年末全区共有17个乡镇卫生院，乡镇卫生院卫生技术人员28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人；有3个社区服务中心，社区卫生服务中心（站）卫生技术人员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;全区共有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卫生技术人员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728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ascii="仿宋" w:hAnsi="仿宋" w:eastAsia="仿宋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十、人民生活和社会保障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全年</w:t>
      </w:r>
      <w:r>
        <w:rPr>
          <w:rFonts w:ascii="仿宋" w:hAnsi="仿宋" w:eastAsia="仿宋" w:cs="Times New Roman"/>
          <w:color w:val="auto"/>
          <w:sz w:val="32"/>
          <w:szCs w:val="32"/>
        </w:rPr>
        <w:t>全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区城镇居民人均可支配收入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34524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5.4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%，城镇居民人均消费支出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18271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元，增长7.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%；农村居民人均可支配收入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12455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.2%，农村居民人均消费支出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10471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7.1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%。按居民五等份收入分组，城镇低收入组人均可支配收入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13016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6.6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%；农村低收入组人均可支配收入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5019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元，增长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9.0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spacing w:before="156" w:beforeLines="50"/>
        <w:jc w:val="center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表</w:t>
      </w:r>
      <w:r>
        <w:rPr>
          <w:rFonts w:hint="eastAsia" w:ascii="黑体" w:hAnsi="黑体" w:eastAsia="黑体" w:cs="Times New Roman"/>
          <w:sz w:val="24"/>
          <w:lang w:val="en-US" w:eastAsia="zh-CN"/>
        </w:rPr>
        <w:t>7</w:t>
      </w:r>
      <w:bookmarkStart w:id="0" w:name="_GoBack"/>
      <w:bookmarkEnd w:id="0"/>
      <w:r>
        <w:rPr>
          <w:rFonts w:ascii="黑体" w:hAnsi="黑体" w:eastAsia="黑体" w:cs="Times New Roman"/>
          <w:sz w:val="24"/>
        </w:rPr>
        <w:t xml:space="preserve"> 20</w:t>
      </w:r>
      <w:r>
        <w:rPr>
          <w:rFonts w:hint="eastAsia" w:ascii="黑体" w:hAnsi="黑体" w:eastAsia="黑体" w:cs="Times New Roman"/>
          <w:sz w:val="24"/>
          <w:lang w:val="en-US" w:eastAsia="zh-CN"/>
        </w:rPr>
        <w:t>20</w:t>
      </w:r>
      <w:r>
        <w:rPr>
          <w:rFonts w:hint="eastAsia" w:ascii="黑体" w:hAnsi="黑体" w:eastAsia="黑体" w:cs="Times New Roman"/>
          <w:sz w:val="24"/>
        </w:rPr>
        <w:t>年城乡居民人均可支配收入</w:t>
      </w:r>
    </w:p>
    <w:p>
      <w:pPr>
        <w:jc w:val="righ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单位：元</w:t>
      </w:r>
    </w:p>
    <w:tbl>
      <w:tblPr>
        <w:tblStyle w:val="6"/>
        <w:tblW w:w="509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8"/>
        <w:gridCol w:w="2296"/>
        <w:gridCol w:w="22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6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  标</w:t>
            </w:r>
          </w:p>
        </w:tc>
        <w:tc>
          <w:tcPr>
            <w:tcW w:w="135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</w:t>
            </w:r>
          </w:p>
        </w:tc>
        <w:tc>
          <w:tcPr>
            <w:tcW w:w="135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城镇居民人均</w:t>
            </w:r>
            <w:r>
              <w:rPr>
                <w:rFonts w:ascii="仿宋" w:hAnsi="仿宋" w:eastAsia="仿宋" w:cs="宋体"/>
                <w:szCs w:val="21"/>
              </w:rPr>
              <w:t>可支配收入</w:t>
            </w:r>
          </w:p>
          <w:p>
            <w:pPr>
              <w:spacing w:line="240" w:lineRule="exact"/>
              <w:ind w:right="57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4524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42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其中：工资性收入</w:t>
            </w:r>
          </w:p>
          <w:p>
            <w:pPr>
              <w:spacing w:line="240" w:lineRule="exact"/>
              <w:ind w:right="57" w:firstLine="420" w:firstLineChars="2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18672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经营净收入</w:t>
            </w:r>
          </w:p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</w:p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450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财产净收入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2664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转移</w:t>
            </w:r>
            <w:r>
              <w:rPr>
                <w:rFonts w:ascii="仿宋" w:hAnsi="仿宋" w:eastAsia="仿宋" w:cs="宋体"/>
                <w:szCs w:val="21"/>
              </w:rPr>
              <w:t>净收入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10738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农村居民人均可支配收入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12455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szCs w:val="21"/>
              </w:rPr>
              <w:t>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42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其中</w:t>
            </w:r>
            <w:r>
              <w:rPr>
                <w:rFonts w:ascii="仿宋" w:hAnsi="仿宋" w:eastAsia="仿宋" w:cs="宋体"/>
                <w:szCs w:val="21"/>
              </w:rPr>
              <w:t>：工资性收入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580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经营净收入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4320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财产净收入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160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286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42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szCs w:val="21"/>
              </w:rPr>
              <w:t>转移</w:t>
            </w:r>
            <w:r>
              <w:rPr>
                <w:rFonts w:ascii="仿宋" w:hAnsi="仿宋" w:eastAsia="仿宋" w:cs="宋体"/>
                <w:szCs w:val="21"/>
              </w:rPr>
              <w:t>净收入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395</w:t>
            </w:r>
          </w:p>
        </w:tc>
        <w:tc>
          <w:tcPr>
            <w:tcW w:w="1357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23.1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年末全区参加城乡居民基本养老保险2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50000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人，比上年末增加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648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人；参加企业职工基本养老保险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51689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人，参加机关事业单位基本养老保险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11936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人，参加失业保险17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256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人，参加工伤保险200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0人。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年底得到城市最低生活保障救济人数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3820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人，全年共发放城市最低保障资金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1794.78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万元；年底得到农村最低生活保障救济人数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20072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人，全年共发放农村最低保障资金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7352.87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万元；年底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2126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人纳入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特困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供养，全年发放资金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1636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万元。</w:t>
      </w:r>
    </w:p>
    <w:p>
      <w:pPr>
        <w:widowControl/>
        <w:jc w:val="left"/>
        <w:rPr>
          <w:rFonts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仿宋" w:hAnsi="仿宋" w:eastAsia="仿宋" w:cs="宋体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十</w:t>
      </w: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宋体"/>
          <w:b/>
          <w:color w:val="auto"/>
          <w:kern w:val="0"/>
          <w:sz w:val="36"/>
          <w:szCs w:val="36"/>
        </w:rPr>
        <w:t>、资源、环境和安全生产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年末全区森林面积30333公顷，森林覆盖率15.2%。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按《环境空气质量指数（AQI）技术规定（试行）（HJ633-2012）》评价，年末全区空气质量优良天数为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263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天，达标率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71.9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 PM2.5年均浓度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44mg/m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vertAlign w:val="baseline"/>
          <w:lang w:val="en-US" w:eastAsia="zh-CN"/>
        </w:rPr>
        <w:t>,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同比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7.3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2020年全区发生各类生产经营性伤亡事故24起，下降11.1%，死亡6人。生产经营性事故包括工矿商贸企业事故、生产经营性火灾事故及生产经营性道路事故。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　　 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　　 </w:t>
      </w:r>
    </w:p>
    <w:p>
      <w:pPr>
        <w:pStyle w:val="12"/>
        <w:spacing w:line="62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注释：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1.本公报部分数据为初步统计数据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除注明外，所有增长或下降速度均为同上年相比较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部分数据因四舍五入的原因，存在与分项合计不等的情况。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2.本公报部分数据由相关部门提供。 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3.地区生产总值、各产业增加值绝对数按现价计算，增长速度按不变价格计算。 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2020年展开第七次全国人口普查，相关数据正在汇总审核，本公报暂不涉及人口相关数据及人均指标，我们将按照国家要求及时发布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5.根据第四次全国经济普查结果，对部分指标历史数据进行了修订，2020年增速按可比口径计算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</w:rPr>
        <w:t>.森林面积和森林覆盖率数据为2019年末数据。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Times New Roman"/>
          <w:sz w:val="28"/>
          <w:szCs w:val="28"/>
        </w:rPr>
        <w:t>“四上”企业是指规模以上工业企业、有资质的建筑业企业和房地产开发企业、限额以上批发零售和住宿餐饮企业、规模以上服务业企业。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53615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3B0"/>
    <w:multiLevelType w:val="multilevel"/>
    <w:tmpl w:val="494763B0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4B"/>
    <w:rsid w:val="000370CC"/>
    <w:rsid w:val="0008039B"/>
    <w:rsid w:val="000854EF"/>
    <w:rsid w:val="000B0082"/>
    <w:rsid w:val="000D3080"/>
    <w:rsid w:val="00100E99"/>
    <w:rsid w:val="0010683B"/>
    <w:rsid w:val="00127CE0"/>
    <w:rsid w:val="001711CA"/>
    <w:rsid w:val="001B3F88"/>
    <w:rsid w:val="001E21DA"/>
    <w:rsid w:val="00243C9B"/>
    <w:rsid w:val="002B515D"/>
    <w:rsid w:val="003108EA"/>
    <w:rsid w:val="00310B96"/>
    <w:rsid w:val="003739D7"/>
    <w:rsid w:val="003F454D"/>
    <w:rsid w:val="0043673E"/>
    <w:rsid w:val="004A3498"/>
    <w:rsid w:val="004A5AE0"/>
    <w:rsid w:val="00504879"/>
    <w:rsid w:val="00505AEB"/>
    <w:rsid w:val="00515232"/>
    <w:rsid w:val="005702F6"/>
    <w:rsid w:val="00610B95"/>
    <w:rsid w:val="006329EA"/>
    <w:rsid w:val="006662D8"/>
    <w:rsid w:val="006A1F8A"/>
    <w:rsid w:val="006C464C"/>
    <w:rsid w:val="007B3423"/>
    <w:rsid w:val="007E7D47"/>
    <w:rsid w:val="00802287"/>
    <w:rsid w:val="00884817"/>
    <w:rsid w:val="00894D8E"/>
    <w:rsid w:val="008B757E"/>
    <w:rsid w:val="008C2E9F"/>
    <w:rsid w:val="008D0843"/>
    <w:rsid w:val="008D1CF9"/>
    <w:rsid w:val="008E1783"/>
    <w:rsid w:val="00952911"/>
    <w:rsid w:val="00952D66"/>
    <w:rsid w:val="00963F94"/>
    <w:rsid w:val="0096783D"/>
    <w:rsid w:val="00981F87"/>
    <w:rsid w:val="009A775F"/>
    <w:rsid w:val="009B4943"/>
    <w:rsid w:val="009C6698"/>
    <w:rsid w:val="009D2931"/>
    <w:rsid w:val="00A561F5"/>
    <w:rsid w:val="00B1296D"/>
    <w:rsid w:val="00B76E7E"/>
    <w:rsid w:val="00BA5A4F"/>
    <w:rsid w:val="00BC3DCA"/>
    <w:rsid w:val="00C40702"/>
    <w:rsid w:val="00C435A7"/>
    <w:rsid w:val="00C85F54"/>
    <w:rsid w:val="00C87220"/>
    <w:rsid w:val="00CB682B"/>
    <w:rsid w:val="00CE1D17"/>
    <w:rsid w:val="00CE2F55"/>
    <w:rsid w:val="00CF46A0"/>
    <w:rsid w:val="00CF4878"/>
    <w:rsid w:val="00D266CE"/>
    <w:rsid w:val="00E13B80"/>
    <w:rsid w:val="00E17C0F"/>
    <w:rsid w:val="00EB305E"/>
    <w:rsid w:val="00EB398D"/>
    <w:rsid w:val="00F10842"/>
    <w:rsid w:val="00F90E0D"/>
    <w:rsid w:val="00FC514B"/>
    <w:rsid w:val="00FE6EE5"/>
    <w:rsid w:val="15E57467"/>
    <w:rsid w:val="167E1CD7"/>
    <w:rsid w:val="175B4312"/>
    <w:rsid w:val="1A2A4540"/>
    <w:rsid w:val="24176115"/>
    <w:rsid w:val="24CF3517"/>
    <w:rsid w:val="26241A12"/>
    <w:rsid w:val="297077AE"/>
    <w:rsid w:val="2D8B60FA"/>
    <w:rsid w:val="320221A1"/>
    <w:rsid w:val="34EB6B69"/>
    <w:rsid w:val="39435E1F"/>
    <w:rsid w:val="3992080F"/>
    <w:rsid w:val="3B7E7F95"/>
    <w:rsid w:val="3F4D3C09"/>
    <w:rsid w:val="43CC0571"/>
    <w:rsid w:val="49247C55"/>
    <w:rsid w:val="4C322BD3"/>
    <w:rsid w:val="531F353F"/>
    <w:rsid w:val="546D734C"/>
    <w:rsid w:val="590B6CD7"/>
    <w:rsid w:val="65E14BA3"/>
    <w:rsid w:val="6D5B7063"/>
    <w:rsid w:val="6DF37B48"/>
    <w:rsid w:val="6E585364"/>
    <w:rsid w:val="70B04BDC"/>
    <w:rsid w:val="72F04FBF"/>
    <w:rsid w:val="77D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_Style 0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579;&#26195;&#23071;\&#20844;&#25253;\&#22269;&#27665;&#32463;&#27982;&#20844;&#25253;\2020&#32479;&#35745;&#20844;&#25253;\&#20844;&#25253;&#30340;&#34920;&#2668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579;&#26195;&#23071;\&#20844;&#25253;\&#22269;&#27665;&#32463;&#27982;&#20844;&#25253;\2020&#32479;&#35745;&#20844;&#25253;\&#20844;&#25253;&#30340;&#34920;&#266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[公报的表格.xls]Sheet1!$J$39</c:f>
              <c:strCache>
                <c:ptCount val="1"/>
                <c:pt idx="0">
                  <c:v>一产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[公报的表格.xls]Sheet1!$K$38:$L$38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[公报的表格.xls]Sheet1!$K$39:$L$39</c:f>
              <c:numCache>
                <c:formatCode>0.0</c:formatCode>
                <c:ptCount val="2"/>
                <c:pt idx="0">
                  <c:v>6.01709845072079</c:v>
                </c:pt>
                <c:pt idx="1">
                  <c:v>5.81576791388643</c:v>
                </c:pt>
              </c:numCache>
            </c:numRef>
          </c:val>
        </c:ser>
        <c:ser>
          <c:idx val="1"/>
          <c:order val="1"/>
          <c:tx>
            <c:strRef>
              <c:f>[公报的表格.xls]Sheet1!$J$40</c:f>
              <c:strCache>
                <c:ptCount val="1"/>
                <c:pt idx="0">
                  <c:v>二产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[公报的表格.xls]Sheet1!$K$38:$L$38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[公报的表格.xls]Sheet1!$K$40:$L$40</c:f>
              <c:numCache>
                <c:formatCode>0.0</c:formatCode>
                <c:ptCount val="2"/>
                <c:pt idx="0">
                  <c:v>26.8002114501812</c:v>
                </c:pt>
                <c:pt idx="1">
                  <c:v>26.5167785075984</c:v>
                </c:pt>
              </c:numCache>
            </c:numRef>
          </c:val>
        </c:ser>
        <c:ser>
          <c:idx val="2"/>
          <c:order val="2"/>
          <c:tx>
            <c:strRef>
              <c:f>[公报的表格.xls]Sheet1!$J$41</c:f>
              <c:strCache>
                <c:ptCount val="1"/>
                <c:pt idx="0">
                  <c:v>三产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[公报的表格.xls]Sheet1!$K$38:$L$38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[公报的表格.xls]Sheet1!$K$41:$L$41</c:f>
              <c:numCache>
                <c:formatCode>0.0</c:formatCode>
                <c:ptCount val="2"/>
                <c:pt idx="0">
                  <c:v>67.182690099098</c:v>
                </c:pt>
                <c:pt idx="1">
                  <c:v>67.6674535785152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1048691"/>
        <c:axId val="69795106"/>
      </c:barChart>
      <c:catAx>
        <c:axId val="651048691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9795106"/>
        <c:crosses val="autoZero"/>
        <c:auto val="1"/>
        <c:lblAlgn val="ctr"/>
        <c:lblOffset val="100"/>
        <c:noMultiLvlLbl val="0"/>
      </c:catAx>
      <c:valAx>
        <c:axId val="6979510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51048691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1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图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2   </a:t>
            </a:r>
            <a:r>
              <a:rPr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20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16</a:t>
            </a:r>
            <a:r>
              <a:rPr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-20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20</a:t>
            </a:r>
            <a:r>
              <a:rPr sz="12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年全区一般公共预算收入及其增长速度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13461532424726"/>
          <c:y val="0.030732909655328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646853146853147"/>
          <c:y val="0.243499380123791"/>
          <c:w val="0.844405594405594"/>
          <c:h val="0.602838271180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[公报的表格.xls]Sheet1!$C$17</c:f>
              <c:strCache>
                <c:ptCount val="1"/>
                <c:pt idx="0">
                  <c:v>一般公共预算收入</c:v>
                </c:pt>
              </c:strCache>
            </c:strRef>
          </c:tx>
          <c:spPr>
            <a:noFill/>
            <a:ln w="12700">
              <a:solidFill>
                <a:srgbClr val="000000">
                  <a:alpha val="100000"/>
                </a:srgbClr>
              </a:solidFill>
              <a:prstDash val="solid"/>
            </a:ln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[公报的表格.xls]Sheet1!$D$16:$H$16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[公报的表格.xls]Sheet1!$D$17:$H$17</c:f>
              <c:numCache>
                <c:formatCode>General</c:formatCode>
                <c:ptCount val="5"/>
                <c:pt idx="0">
                  <c:v>4.5</c:v>
                </c:pt>
                <c:pt idx="1">
                  <c:v>4.6</c:v>
                </c:pt>
                <c:pt idx="2">
                  <c:v>4.9</c:v>
                </c:pt>
                <c:pt idx="3" c:formatCode="0.0">
                  <c:v>6</c:v>
                </c:pt>
                <c:pt idx="4" c:formatCode="0.0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402694848"/>
        <c:axId val="987018253"/>
      </c:barChart>
      <c:lineChart>
        <c:grouping val="standard"/>
        <c:varyColors val="0"/>
        <c:ser>
          <c:idx val="1"/>
          <c:order val="1"/>
          <c:tx>
            <c:strRef>
              <c:f>[公报的表格.xls]Sheet1!$C$18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700" cap="rnd" cmpd="sng" algn="ctr">
              <a:solidFill>
                <a:srgbClr val="003366">
                  <a:alpha val="100000"/>
                </a:srgbClr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rgbClr val="003366">
                  <a:alpha val="100000"/>
                </a:srgbClr>
              </a:solidFill>
              <a:ln w="9525" cap="flat" cmpd="sng" algn="ctr">
                <a:solidFill>
                  <a:srgbClr val="003366">
                    <a:alpha val="100000"/>
                  </a:srgbClr>
                </a:solidFill>
                <a:prstDash val="solid"/>
                <a:round/>
              </a:ln>
            </c:spPr>
          </c:marker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[公报的表格.xls]Sheet1!$D$16:$H$16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[公报的表格.xls]Sheet1!$D$18:$H$18</c:f>
              <c:numCache>
                <c:formatCode>General</c:formatCode>
                <c:ptCount val="5"/>
                <c:pt idx="0">
                  <c:v>-10.1</c:v>
                </c:pt>
                <c:pt idx="1" c:formatCode="0.0">
                  <c:v>2</c:v>
                </c:pt>
                <c:pt idx="2">
                  <c:v>5.7</c:v>
                </c:pt>
                <c:pt idx="3">
                  <c:v>22.8</c:v>
                </c:pt>
                <c:pt idx="4">
                  <c:v>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6477"/>
        <c:axId val="234545882"/>
      </c:lineChart>
      <c:catAx>
        <c:axId val="40269484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t>亿元</a:t>
                </a:r>
                <a:endParaRPr sz="1100" b="0" i="0" u="none" strike="noStrike" baseline="0">
                  <a:solidFill>
                    <a:srgbClr val="000000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0874129105954779"/>
              <c:y val="0.15602861825013"/>
            </c:manualLayout>
          </c:layout>
          <c:overlay val="0"/>
        </c:title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987018253"/>
        <c:crosses val="autoZero"/>
        <c:auto val="1"/>
        <c:lblAlgn val="ctr"/>
        <c:lblOffset val="100"/>
        <c:tickLblSkip val="1"/>
        <c:noMultiLvlLbl val="0"/>
      </c:catAx>
      <c:valAx>
        <c:axId val="987018253"/>
        <c:scaling>
          <c:orientation val="minMax"/>
          <c:max val="7"/>
          <c:min val="4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402694848"/>
        <c:crosses val="autoZero"/>
        <c:crossBetween val="between"/>
        <c:majorUnit val="0.2"/>
      </c:valAx>
      <c:catAx>
        <c:axId val="23356477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t>%</a:t>
                </a:r>
                <a:endParaRPr sz="1100" b="0" i="0" u="none" strike="noStrike" baseline="0">
                  <a:solidFill>
                    <a:srgbClr val="000000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938811136979971"/>
              <c:y val="0.158392688223617"/>
            </c:manualLayout>
          </c:layout>
          <c:overlay val="0"/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234545882"/>
        <c:crosses val="autoZero"/>
        <c:auto val="1"/>
        <c:lblAlgn val="ctr"/>
        <c:lblOffset val="100"/>
        <c:noMultiLvlLbl val="0"/>
      </c:catAx>
      <c:valAx>
        <c:axId val="234545882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23356477"/>
        <c:crosses val="max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48251759227771"/>
          <c:y val="0.125295708594801"/>
          <c:w val="0.484"/>
          <c:h val="0.04925"/>
        </c:manualLayout>
      </c:layout>
      <c:overlay val="0"/>
      <c:spPr>
        <a:solidFill>
          <a:srgbClr val="FFFFFF">
            <a:alpha val="100000"/>
          </a:srgbClr>
        </a:solidFill>
        <a:ln w="3175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1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FFFFFF">
        <a:alpha val="100000"/>
      </a:srgbClr>
    </a:solidFill>
    <a:ln w="3175" cap="flat" cmpd="sng" algn="ctr">
      <a:noFill/>
      <a:prstDash val="solid"/>
      <a:round/>
    </a:ln>
  </c:spPr>
  <c:txPr>
    <a:bodyPr rot="0" wrap="square" anchor="ctr" anchorCtr="1"/>
    <a:lstStyle/>
    <a:p>
      <a:pPr>
        <a:defRPr lang="zh-CN" sz="1100" b="0" i="0" u="none" strike="noStrike" baseline="0">
          <a:solidFill>
            <a:srgbClr val="000000">
              <a:alpha val="100000"/>
            </a:srgbClr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BC806-A4F7-4AA4-B696-E8C62E05CB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860</Words>
  <Characters>4903</Characters>
  <Lines>40</Lines>
  <Paragraphs>11</Paragraphs>
  <TotalTime>50</TotalTime>
  <ScaleCrop>false</ScaleCrop>
  <LinksUpToDate>false</LinksUpToDate>
  <CharactersWithSpaces>5752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2020-03-10T03:00:00Z</dcterms:created>
  <dc:creator>Administrator</dc:creator>
  <cp:lastModifiedBy>Lynn</cp:lastModifiedBy>
  <dcterms:modified xsi:type="dcterms:W3CDTF">2021-09-23T01:21:15Z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