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忻府区2024年“玉米单产提升高产竞赛”报名表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964"/>
        <w:gridCol w:w="394"/>
        <w:gridCol w:w="721"/>
        <w:gridCol w:w="758"/>
        <w:gridCol w:w="1080"/>
        <w:gridCol w:w="145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所在乡镇（街道）、村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    型</w:t>
            </w:r>
          </w:p>
        </w:tc>
        <w:tc>
          <w:tcPr>
            <w:tcW w:w="7337" w:type="dxa"/>
            <w:gridSpan w:val="7"/>
            <w:vAlign w:val="center"/>
          </w:tcPr>
          <w:p>
            <w:pPr>
              <w:ind w:firstLine="1050" w:firstLineChars="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  ）经营主体、 （   ） 种粮大户、  （）种植能手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8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玉米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种植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产量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往年最高产</w:t>
            </w:r>
          </w:p>
        </w:tc>
        <w:tc>
          <w:tcPr>
            <w:tcW w:w="196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采取主要措施及技术模式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37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区农业产业发展中心审核意见：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181" w:type="dxa"/>
            <w:vMerge w:val="continue"/>
          </w:tcPr>
          <w:p/>
        </w:tc>
        <w:tc>
          <w:tcPr>
            <w:tcW w:w="7337" w:type="dxa"/>
            <w:gridSpan w:val="7"/>
            <w:vAlign w:val="bottom"/>
          </w:tcPr>
          <w:p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签字（盖章）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月    日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注：1、栽培管理技术和模式包括宽窄行种植、种肥同播、分层施肥、半膜（全膜）覆盖、滴灌、水肥一体化、飞防（叶面肥杀虫剂）、高密度种植等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GViMGE3YWFkZjNlMjE1Y2E5NGFmMjE1NmY0NjUifQ=="/>
    <w:docVar w:name="KSO_WPS_MARK_KEY" w:val="96e20d11-1178-47fd-ac79-112aec2d83bd"/>
  </w:docVars>
  <w:rsids>
    <w:rsidRoot w:val="2B3C34E4"/>
    <w:rsid w:val="2B3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6"/>
      <w:szCs w:val="36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2024-09-10T08:58:00Z</dcterms:created>
  <dc:creator>回归</dc:creator>
  <cp:lastModifiedBy>回归</cp:lastModifiedBy>
  <dcterms:modified xsi:type="dcterms:W3CDTF">2024-09-10T09:01:21Z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15949CCCFC6647B6806ACFB75E914ACC_11</vt:lpwstr>
  </property>
</Properties>
</file>